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Договор оказания услуг и выполнения работ ИП Сапега Елена Юрьевна</w:t>
      </w:r>
    </w:p>
    <w:p>
      <w:r>
        <w:rPr>
          <w:sz w:val="20"/>
        </w:rPr>
        <w:t>Редакция от 14 сентября 2026 года</w:t>
      </w:r>
    </w:p>
    <w:p>
      <w:pPr>
        <w:pStyle w:val="Heading1"/>
      </w:pPr>
      <w:r>
        <w:t>1 Исполнитель и предмет</w:t>
      </w:r>
    </w:p>
    <w:p>
      <w:r>
        <w:t>ИП Сапега Елена Юрьевна, ИНН 232106252937, ОГРНИП 321237500341887, адрес: 350020, Россия, г. Краснодар, ул. Красных Партизан, д. 232, кв. 21, далее Исполнитель, заключает с указанным в заказе Заказчиком договор на разработку, интеграцию, сопровождение, продвижение или другие согласованные работы и услуги. Заказчик, его представитель и полномочия определяются в заказе или подписанном приложении.</w:t>
      </w:r>
    </w:p>
    <w:p>
      <w:r>
        <w:t>Конкретный предмет, результат, этапы, сроки, цена, исходные материалы, критерии приёмки и условия использования результата устанавливаются в техническом задании или спецификации. Документ с незаполненным предметом не создаёт обязанности выполнить любые работы за общую сумму. Продажа лицензий, SSL и услуг хостинга ООО оформляется отдельно; ИП не становится их продавцом только из-за общего бренда.</w:t>
      </w:r>
    </w:p>
    <w:p>
      <w:pPr>
        <w:pStyle w:val="Heading1"/>
      </w:pPr>
      <w:r>
        <w:t>2 Заключение и состав договора</w:t>
      </w:r>
    </w:p>
    <w:p>
      <w:r>
        <w:t>Договор состоит из этих условий, согласованного заказа и приложений. Он заключается подписанием сторонами либо акцептом конкретного полностью определённого заказа способом, прямо указанным до подтверждения. До акцепта Заказчику доступны полный текст, сведения об Исполнителе и все существенные условия.</w:t>
      </w:r>
    </w:p>
    <w:p>
      <w:r>
        <w:t>Для государственных и муниципальных заказчиков применяется предусмотренный законом способ заключения контракта. Общий шаблон и коммерческое предложение ООО не заменяют контракт с ИП и не меняют сторону закупки.</w:t>
      </w:r>
    </w:p>
    <w:p>
      <w:pPr>
        <w:pStyle w:val="Heading1"/>
      </w:pPr>
      <w:r>
        <w:t>3 Выполнение и взаимодействие</w:t>
      </w:r>
    </w:p>
    <w:p>
      <w:r>
        <w:t>Исполнитель выполняет согласованные действия профессионально и передаёт предусмотренный результат. Заказчик своевременно предоставляет материалы, законные доступы и согласования, назначает уполномоченное контактное лицо. При недостаточности или опасности указаний Исполнитель сообщает об этом до продолжения соответствующих работ.</w:t>
      </w:r>
    </w:p>
    <w:p>
      <w:r>
        <w:t>Изменение объёма оформляется согласованием дополнительных задач, цены и влияния на сроки. Молчание или обычный ответ на технический вопрос не считаются согласием на дополнительные платные работы. Задержка со стороны Заказчика изменяет срок лишь в доказанном объёме влияния и с уведомлением, а не автоматически на произвольный период.</w:t>
      </w:r>
    </w:p>
    <w:p>
      <w:r>
        <w:t>Доступы передаются через согласованный защищённый канал, ограничиваются нужной системой и задачей и отзываются по завершении. Необязательная копия рабочей базы не используется для тестирования. При необходимости обработки персональных данных предварительно оформляется поручение раздела 8.</w:t>
      </w:r>
    </w:p>
    <w:p>
      <w:pPr>
        <w:pStyle w:val="Heading1"/>
      </w:pPr>
      <w:r>
        <w:t>4 Цена и расчёты</w:t>
      </w:r>
    </w:p>
    <w:p>
      <w:r>
        <w:t>Цена указывается в рублях, по этапам или иному определимому порядку, с указанием налогового режима в расчётных документах. Порядок аванса и окончательного расчёта определяется спецификацией. Не согласованные платные услуги не навязываются; изменение цены уже принятого заказа производится по закону и соглашению сторон.</w:t>
      </w:r>
    </w:p>
    <w:p>
      <w:r>
        <w:t>Исполнитель предоставляет предусмотренные законом кассовые и расчётные документы. Для потребителя момент исполнения платёжного обязательства и доступные способы оплаты определяются законом. Сведения о платёжных картах не направляются в технические задания или переписку поддержки.</w:t>
      </w:r>
    </w:p>
    <w:p>
      <w:pPr>
        <w:pStyle w:val="Heading1"/>
      </w:pPr>
      <w:r>
        <w:t>5 Сдача и качество</w:t>
      </w:r>
    </w:p>
    <w:p>
      <w:r>
        <w:t>Результат передаётся способом, указанным в задании, вместе с предусмотренными исходными кодами, файлами, инструкциями и доступами. Заказчик проверяет результат по согласованным критериям и направляет акт либо конкретные замечания. Для предпринимательских заказов срок проверки составляет 10 рабочих дней, если иной срок не согласован; последствия отсутствия ответа должны быть отдельно определены в заказе.</w:t>
      </w:r>
    </w:p>
    <w:p>
      <w:r>
        <w:t>Исполнитель устраняет подтверждённые недостатки в согласованный разумный срок или предоставляет предусмотренное законом решение. Приёмка не лишает Заказчика прав в отношении скрытых недостатков. Потребитель сохраняет все гарантии и сроки предъявления требований по закону; договор не устанавливает их сокращение.</w:t>
      </w:r>
    </w:p>
    <w:p>
      <w:r>
        <w:t>Для сопровождения и продвижения подтверждаются фактически выполненные действия и отчётный период. Исполнитель не гарантирует конкретное место в поисковой выдаче, коммерческую выручку или решения сторонних платформ, если конкретное обязательство не согласовано и не может быть законно обеспечено.</w:t>
      </w:r>
    </w:p>
    <w:p>
      <w:pPr>
        <w:pStyle w:val="Heading1"/>
      </w:pPr>
      <w:r>
        <w:t>6 Права на результат</w:t>
      </w:r>
    </w:p>
    <w:p>
      <w:r>
        <w:t>Для индивидуально созданного по заданию программного продукта стороны в спецификации определяют правовой режим: отчуждение исключительного права либо конкретную лицензию, момент перехода и вознаграждение. При отчуждении вознаграждение за право указывается отдельно или определяется как явно выделенная часть общей цены. До согласования этих условий общий текст не обещает передачу прав на любые материалы.</w:t>
      </w:r>
    </w:p>
    <w:p>
      <w:r>
        <w:t>Предшествующие разработки, сторонние библиотеки, шрифты, изображения и программы перечисляются с их лицензиями и ограничениями. Нельзя передать Заказчику исключительное право на компонент, которое не принадлежит Исполнителю. Исполнитель обеспечивает необходимые права от привлечённых авторов в пределах согласованного результата.</w:t>
      </w:r>
    </w:p>
    <w:p>
      <w:r>
        <w:t>Публикация проекта в портфолио, логотипа Заказчика, отзывов и персональных данных допускается по отдельному согласованию и необходимому правовому основанию. Оплата работ сама по себе не является согласием на такую публикацию.</w:t>
      </w:r>
    </w:p>
    <w:p>
      <w:pPr>
        <w:pStyle w:val="Heading1"/>
      </w:pPr>
      <w:r>
        <w:t>7 Реклама и конфиденциальность</w:t>
      </w:r>
    </w:p>
    <w:p>
      <w:r>
        <w:t>Если заказ включает рекламу, до размещения согласуются рекламодатель, площадки, бюджет, материалы и распределение обязанностей по маркировке, идентификатору, передаче сведений через оператора рекламных данных и отчётности. Каждая сторона исполняет собственные обязательные обязанности. Не согласованные сведения нельзя подменять общей фразой о полной ответственности клиента.</w:t>
      </w:r>
    </w:p>
    <w:p>
      <w:r>
        <w:t>Непубличные материалы, доступы, клиентские базы и переписка используются только для договора. Подрядчик получает минимальный доступ на условиях конфиденциальности и, когда требуется, поручения обработки. Исполнитель отвечает за своих привлечённых исполнителей в установленном законом и договором объёме.</w:t>
      </w:r>
    </w:p>
    <w:p>
      <w:pPr>
        <w:pStyle w:val="Heading1"/>
      </w:pPr>
      <w:r>
        <w:t>8 Поручение обработки персональных данных</w:t>
      </w:r>
    </w:p>
    <w:p>
      <w:r>
        <w:t>Если Заказчик поручает ИП доступ к персональным данным своей системы, до доступа стороны заполняют карточку поручения: цель, категории субъектов, точные поля данных, допустимые действия, системы и места обработки, срок, меры защиты, разрешённые подрядчики и способ возврата или уничтожения. Заказчик обеспечивает необходимое основание и согласие на поручение, когда оно требуется законом.</w:t>
      </w:r>
    </w:p>
    <w:p>
      <w:r>
        <w:t>ИП обрабатывает данные только по заданию Заказчика, соблюдает конфиденциальность, требования части 5 статьи 18, статей 18.1 и 19 Закона № 152-ФЗ и согласованные меры защиты. До начала и в течение работ по запросу предоставляются подтверждения принятых мер. Данные не передаются неопределённым подрядчикам, внешним моделям ИИ и за рубеж без отдельного надлежащего оформления.</w:t>
      </w:r>
    </w:p>
    <w:p>
      <w:r>
        <w:t>Об инциденте ИП сообщает Заказчику без неоправданной задержки, не позднее 12 часов с момента выявления, затем предоставляет уточнения и результаты расследования. ИП помогает исполнить запросы субъектов и требования о блокировании, исправлении и уничтожении. После завершения работы доступы отзываются, данные возвращаются или уничтожаются в согласованный законный срок с документальным подтверждением, включая копии у привлечённых лиц.</w:t>
      </w:r>
    </w:p>
    <w:p>
      <w:r>
        <w:t>Это поручение не даёт ИП права использовать клиентские данные в собственных целях. Сведения о самом Заказчике и его представителях обрабатываются ИП как самостоятельным оператором по отдельной политике и применимым основаниям. Подписание договора не считается универсальным согласием на обработку.</w:t>
      </w:r>
    </w:p>
    <w:p>
      <w:pPr>
        <w:pStyle w:val="Heading1"/>
      </w:pPr>
      <w:r>
        <w:t>9 Отказ и ответственность</w:t>
      </w:r>
    </w:p>
    <w:p>
      <w:r>
        <w:t>Отказ от услуг и работ производится по правилам соответствующего вида договора. Потребитель вправе отказаться от услуг в любое время с оплатой фактически понесённых исполнителем расходов, связанных с договором. Неотработанный аванс возвращается; расходы подтверждаются и не подменяются штрафом или требованием обязательно оплатить весь проект.</w:t>
      </w:r>
    </w:p>
    <w:p>
      <w:r>
        <w:t>Для предпринимательских заказов применяются, в частности, статьи 717 и 782 ГК РФ в зависимости от предмета; последствия отказа от работ и услуг не смешиваются. При прекращении стороны определяют выполненный объём, передаваемый результат, законные расходы, возврат средств и судьбу данных и доступов.</w:t>
      </w:r>
    </w:p>
    <w:p>
      <w:r>
        <w:t>Стороны отвечают за свои нарушения по закону. Исключение ответственности за любые действия подрядчиков, недостатки результата или утрату данных не устанавливается. Императивные гарантии потребителя сохраняются.</w:t>
      </w:r>
    </w:p>
    <w:p>
      <w:r>
        <w:t>Обстоятельства непреодолимой силы определяются по пункту 3 статьи 401 ГК РФ: это чрезвычайные и непредотвратимые при данных условиях обстоятельства. Сторона освобождается от ответственности за неисполнение или ненадлежащее исполнение только в той мере и за тот период, в которых докажет влияние такого обстоятельства на конкретное обязательство. Наличие обстоятельства, его продолжительность и причинная связь с нарушением оцениваются применительно к месту, времени и условиям исполнения.</w:t>
      </w:r>
    </w:p>
    <w:p>
      <w:r>
        <w:t>К таким обстоятельствам при соблюдении указанных признаков могут относиться военные действия, в том числе проведение специальной военной операции (СВО) и её последствия, террористические акты, диверсии, атаки беспилотных летательных аппаратов (БПЛА). Если исполнение зависит от дата-центра, это может включать поражение самого дата-центра, размещённых в нём оборудования и серверов исполнителя или заказчика, в том числе в дата-центрах третьих лиц, а также повреждение обеспечивающих их электроснабжение, охлаждение и связь объектов вследствие атаки, падения БПЛА, боеприпасов или их обломков, вызванного ими пожара либо обязательного ограничения доступа компетентными органами.</w:t>
      </w:r>
    </w:p>
    <w:p>
      <w:r>
        <w:t>Сам факт проведения СВО, расположение объекта на определённой территории или общая угроза атаки не означают автоматического признания форс-мажора. Обычные технические неисправности, плановые работы, отсутствие денежных средств, нарушение обязанностей подрядчиком или непринятие требуемых мер защиты сами по себе к непреодолимой силе не относятся. Учитываются известные сторонам условия исполнения; ссылка на внешнее событие не устраняет ответственность за собственное нарушение, не обусловленное этим событием.</w:t>
      </w:r>
    </w:p>
    <w:p>
      <w:r>
        <w:t>Сторона, для которой возникло препятствие, без неоправданной задержки уведомляет другую сторону по согласованному каналу. В уведомлении указываются известные обстоятельства, затронутые услуги и обязательства, принимаемые меры и предполагаемый срок восстановления, если его возможно обоснованно определить. Сведения уточняются по мере получения; о прекращении препятствия сообщается отдельно. Обязательные сроки специальных уведомлений, включая уведомления об инцидентах с данными, сохраняются.</w:t>
      </w:r>
    </w:p>
    <w:p>
      <w:r>
        <w:t>Наличие обстоятельств и их влияние могут подтверждаться документами компетентных органов, актами дата-центра, поставщиков энергии и связи, техническими журналами и иными допустимыми доказательствами в совокупности. Документ торгово-промышленной палаты при его наличии оценивается наряду с другими доказательствами и не является единственно допустимым подтверждением.</w:t>
      </w:r>
    </w:p>
    <w:p>
      <w:r>
        <w:t>Стороны принимают разумные меры для уменьшения последствий и возобновления исполнения. Согласованные обязанности по безопасности, резервному копированию, сохранности и возврату оборудования не отменяются автоматически. Форс-мажор сам по себе не прекращает обязательства, не переносит все риски утраты имущества или данных на заказчика и не даёт права удержать оплату за неоказанные услуги без законного основания. Прекращение договора, расчёты и возврат неотработанного аванса определяются законом и договором с сохранением обязательных прав потребителя. Нарушение обязанности своевременно уведомить или уменьшить последствия оценивается отдельно.</w:t>
      </w:r>
    </w:p>
    <w:p>
      <w:pPr>
        <w:pStyle w:val="Heading1"/>
      </w:pPr>
      <w:r>
        <w:t>10 Сообщения и споры</w:t>
      </w:r>
    </w:p>
    <w:p>
      <w:r>
        <w:t>Значимые сообщения направляются через согласованный кабинет, support@git.ru или указанные в заказе адреса. Электронные документы подписываются согласованным законным способом; изображение печати или подписи не равно квалифицированной электронной подписи. Использование простой подписи требует правил установления подписанта, фиксации документа и конфиденциальности ключа.</w:t>
      </w:r>
    </w:p>
    <w:p>
      <w:r>
        <w:t>Споры разрешаются по законодательству РФ. Потребитель сохраняет установленный законом выбор подсудности и способы защиты; договор не обязывает его обращаться исключительно в суд Краснодара. Для предпринимательских споров выполняется предусмотренный законом досудебный порядок.</w:t>
      </w:r>
    </w:p>
    <w:p>
      <w:pPr>
        <w:pStyle w:val="Heading1"/>
      </w:pPr>
      <w:r>
        <w:t>11 Реквизиты</w:t>
      </w:r>
    </w:p>
    <w:p>
      <w:r>
        <w:t>ИП Сапега Елена Юрьевна, ИНН 232106252937, ОГРНИП 321237500341887, адрес: 350020, Россия, г. Краснодар, ул. Красных Партизан, д. 232, кв. 21. Государственная регистрация: 13 сентября 2021 года, ОГРНИП 321237500341887. Регистрирующий орган — Межрайонная инспекция Федеральной налоговой службы № 16 по Краснодарскому краю. Контакты: support@git.ru, +7 (499) 404-00-53. Почтовый адрес: 350020, г. Краснодар, а/я 418. Один из действующих счетов: АО «ТБанк», БИК 044525974, р/с 40802810100008518044, к/с 30101810145250000974. Счёт для конкретной оплаты определяется выставленным документом.</w:t>
      </w:r>
    </w:p>
    <w:p>
      <w:pPr>
        <w:pStyle w:val="Heading1"/>
      </w:pPr>
      <w:r>
        <w:t>Приложение 1 Спецификация заказа</w:t>
      </w:r>
    </w:p>
    <w:p>
      <w:r>
        <w:t>Номер и дата заказа: ____________________. Заказчик и реквизиты: ____________________. Представитель и основание полномочий: ____________________.</w:t>
      </w:r>
    </w:p>
    <w:p>
      <w:r>
        <w:t>Предмет и измеримый результат: ____________________. Исходные материалы и обязательства Заказчика: ____________________. Этапы, сроки и зависимости: ____________________. Критерии проверки и способ передачи: ____________________.</w:t>
      </w:r>
    </w:p>
    <w:p>
      <w:r>
        <w:t>Цена по этапам и применимые налоги: ____________________. Порядок оплаты: ____________________. Права на результат, момент перехода и вознаграждение: ____________________. Сторонние компоненты и лицензии: ____________________. Гарантийные обязательства: ____________________.</w:t>
      </w:r>
    </w:p>
    <w:p>
      <w:r>
        <w:t>Необходимость поручения обработки данных и его согласованная карточка: ____________________. Контакты и способ подписания: ____________________. Подписи или реквизиты электронного подтверждения сторон: ____________________.</w:t>
      </w:r>
    </w:p>
    <w:sectPr w:rsidR="00FC693F" w:rsidRPr="0006063C" w:rsidSect="00034616">
      <w:footerReference w:type="default" r:id="rId9"/>
      <w:pgSz w:w="12240" w:h="15840"/>
      <w:pgMar w:top="1008" w:right="1123" w:bottom="936" w:left="1123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8"/>
      </w:rPr>
      <w:t xml:space="preserve">General iT ·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40" w:line="259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 w:line="259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140" w:line="259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40" w:line="259" w:lineRule="auto"/>
      <w:contextualSpacing/>
    </w:pPr>
    <w:rPr>
      <w:rFonts w:asciiTheme="majorHAnsi" w:eastAsiaTheme="majorEastAsia" w:hAnsiTheme="majorHAnsi" w:cstheme="majorBidi" w:ascii="Calibri" w:hAnsi="Calibri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 и выполнения работ ИП Сапега Елена Юрьевна</dc:title>
  <dc:subject>Редакция 2026-09-14</dc:subject>
  <dc:creator>General iT</dc:creator>
  <cp:keywords/>
  <dc:description/>
  <cp:lastModifiedBy/>
  <cp:revision>1</cp:revision>
  <dcterms:created xsi:type="dcterms:W3CDTF">2013-12-23T23:15:00Z</dcterms:created>
  <dcterms:modified xsi:type="dcterms:W3CDTF">2026-09-14T19:42:19Z</dcterms:modified>
  <cp:category/>
</cp:coreProperties>
</file>